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FC" w:rsidRPr="001E1EFC" w:rsidRDefault="001E1EFC" w:rsidP="001E1EFC">
      <w:pPr>
        <w:spacing w:after="0" w:line="240" w:lineRule="auto"/>
        <w:jc w:val="center"/>
        <w:rPr>
          <w:rFonts w:ascii="Times New Roman" w:eastAsia="Times New Roman" w:hAnsi="Times New Roman" w:cs="Times New Roman"/>
          <w:b/>
          <w:sz w:val="28"/>
          <w:szCs w:val="28"/>
          <w:lang w:eastAsia="ru-RU"/>
        </w:rPr>
      </w:pPr>
      <w:r w:rsidRPr="001E1EFC">
        <w:rPr>
          <w:rFonts w:ascii="Times New Roman" w:eastAsia="Times New Roman" w:hAnsi="Times New Roman" w:cs="Times New Roman"/>
          <w:b/>
          <w:sz w:val="28"/>
          <w:szCs w:val="28"/>
          <w:lang w:eastAsia="ru-RU"/>
        </w:rPr>
        <w:t>«ВЕРХНЬОДНІПРОВСЬКЕ  ВИРОБНИЧЕ  УПРАВЛІННЯ</w:t>
      </w:r>
    </w:p>
    <w:p w:rsidR="001E1EFC" w:rsidRPr="001E1EFC" w:rsidRDefault="001E1EFC" w:rsidP="001E1EFC">
      <w:pPr>
        <w:spacing w:after="0" w:line="240" w:lineRule="auto"/>
        <w:jc w:val="center"/>
        <w:rPr>
          <w:rFonts w:ascii="Times New Roman" w:eastAsia="Times New Roman" w:hAnsi="Times New Roman" w:cs="Times New Roman"/>
          <w:b/>
          <w:sz w:val="28"/>
          <w:szCs w:val="28"/>
          <w:lang w:eastAsia="ru-RU"/>
        </w:rPr>
      </w:pPr>
      <w:r w:rsidRPr="001E1EFC">
        <w:rPr>
          <w:rFonts w:ascii="Times New Roman" w:eastAsia="Times New Roman" w:hAnsi="Times New Roman" w:cs="Times New Roman"/>
          <w:b/>
          <w:sz w:val="28"/>
          <w:szCs w:val="28"/>
          <w:lang w:eastAsia="ru-RU"/>
        </w:rPr>
        <w:t>ВОДОПРОВІДНО-КАНАЛІЗАЦІЙНОГО  ГОСПОДАРСТВА»</w:t>
      </w:r>
    </w:p>
    <w:p w:rsidR="001E1EFC" w:rsidRPr="001E1EFC" w:rsidRDefault="001E1EFC" w:rsidP="001E1EFC">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1E1EFC">
        <w:rPr>
          <w:rFonts w:ascii="Times New Roman" w:eastAsia="Times New Roman" w:hAnsi="Times New Roman" w:cs="Times New Roman"/>
          <w:b/>
          <w:sz w:val="28"/>
          <w:szCs w:val="28"/>
          <w:lang w:eastAsia="ru-RU"/>
        </w:rPr>
        <w:t>ДНІПРОПЕТРОВСЬКОЇ  ОБЛАСНОЇ  РАДИ»</w:t>
      </w:r>
    </w:p>
    <w:p w:rsidR="001E1EFC" w:rsidRPr="001E1EFC" w:rsidRDefault="001E1EFC" w:rsidP="001E1EFC">
      <w:pPr>
        <w:spacing w:after="0" w:line="240" w:lineRule="auto"/>
        <w:rPr>
          <w:rFonts w:ascii="Times New Roman" w:eastAsia="Times New Roman" w:hAnsi="Times New Roman" w:cs="Times New Roman"/>
          <w:sz w:val="24"/>
          <w:szCs w:val="24"/>
          <w:lang w:eastAsia="ru-RU"/>
        </w:rPr>
      </w:pPr>
      <w:r w:rsidRPr="001E1EFC">
        <w:rPr>
          <w:rFonts w:ascii="Times New Roman" w:eastAsia="Times New Roman" w:hAnsi="Times New Roman" w:cs="Times New Roman"/>
          <w:sz w:val="24"/>
          <w:szCs w:val="24"/>
          <w:lang w:eastAsia="ru-RU"/>
        </w:rPr>
        <w:t xml:space="preserve">          вул. Котляревського  4,  м. Верхньодніпровськ, Дніпропетровської області, 51600</w:t>
      </w:r>
    </w:p>
    <w:p w:rsidR="001E1EFC" w:rsidRPr="001E1EFC" w:rsidRDefault="001E1EFC" w:rsidP="001E1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1EFC">
        <w:rPr>
          <w:rFonts w:ascii="Times New Roman" w:eastAsia="Times New Roman" w:hAnsi="Times New Roman" w:cs="Times New Roman"/>
          <w:sz w:val="24"/>
          <w:szCs w:val="24"/>
          <w:lang w:eastAsia="ru-RU"/>
        </w:rPr>
        <w:t xml:space="preserve"> р/р </w:t>
      </w:r>
      <w:r w:rsidRPr="001E1EFC">
        <w:rPr>
          <w:rFonts w:ascii="Times New Roman" w:eastAsia="Times New Roman" w:hAnsi="Times New Roman" w:cs="Times New Roman"/>
          <w:sz w:val="24"/>
          <w:szCs w:val="24"/>
          <w:lang w:val="en-US" w:eastAsia="ru-RU"/>
        </w:rPr>
        <w:t>UA</w:t>
      </w:r>
      <w:r w:rsidRPr="001E1EFC">
        <w:rPr>
          <w:rFonts w:ascii="Times New Roman" w:eastAsia="Times New Roman" w:hAnsi="Times New Roman" w:cs="Times New Roman"/>
          <w:sz w:val="24"/>
          <w:szCs w:val="24"/>
          <w:lang w:eastAsia="ru-RU"/>
        </w:rPr>
        <w:t>213003460000026003025760601 АТ «АЛЬФА-БАНК» Відділення «</w:t>
      </w:r>
      <w:proofErr w:type="spellStart"/>
      <w:r w:rsidRPr="001E1EFC">
        <w:rPr>
          <w:rFonts w:ascii="Times New Roman" w:eastAsia="Times New Roman" w:hAnsi="Times New Roman" w:cs="Times New Roman"/>
          <w:sz w:val="24"/>
          <w:szCs w:val="24"/>
          <w:lang w:eastAsia="ru-RU"/>
        </w:rPr>
        <w:t>Кам’янське</w:t>
      </w:r>
      <w:proofErr w:type="spellEnd"/>
      <w:r w:rsidRPr="001E1EFC">
        <w:rPr>
          <w:rFonts w:ascii="Times New Roman" w:eastAsia="Times New Roman" w:hAnsi="Times New Roman" w:cs="Times New Roman"/>
          <w:sz w:val="24"/>
          <w:szCs w:val="24"/>
          <w:lang w:eastAsia="ru-RU"/>
        </w:rPr>
        <w:t xml:space="preserve"> №1»</w:t>
      </w:r>
    </w:p>
    <w:p w:rsidR="001E1EFC" w:rsidRPr="001E1EFC" w:rsidRDefault="001E1EFC" w:rsidP="001E1EFC">
      <w:pPr>
        <w:pBdr>
          <w:bottom w:val="single" w:sz="6" w:space="1" w:color="auto"/>
        </w:pBdr>
        <w:spacing w:after="0" w:line="240" w:lineRule="auto"/>
        <w:rPr>
          <w:rFonts w:ascii="Times New Roman" w:eastAsia="Times New Roman" w:hAnsi="Times New Roman" w:cs="Times New Roman"/>
          <w:sz w:val="24"/>
          <w:szCs w:val="24"/>
          <w:lang w:eastAsia="ru-RU"/>
        </w:rPr>
      </w:pPr>
      <w:r w:rsidRPr="001E1EFC">
        <w:rPr>
          <w:rFonts w:ascii="Times New Roman" w:eastAsia="Times New Roman" w:hAnsi="Times New Roman" w:cs="Times New Roman"/>
          <w:sz w:val="24"/>
          <w:szCs w:val="24"/>
          <w:lang w:eastAsia="ru-RU"/>
        </w:rPr>
        <w:t xml:space="preserve">          МФО 300346  ЄДРПОУ 02128201 тел. (05658)6-06-12 </w:t>
      </w:r>
      <w:r w:rsidRPr="001E1EFC">
        <w:rPr>
          <w:rFonts w:ascii="Times New Roman" w:eastAsia="Times New Roman" w:hAnsi="Times New Roman" w:cs="Times New Roman"/>
          <w:sz w:val="24"/>
          <w:szCs w:val="24"/>
          <w:lang w:val="en-US" w:eastAsia="ru-RU"/>
        </w:rPr>
        <w:t>e</w:t>
      </w:r>
      <w:r w:rsidRPr="001E1EFC">
        <w:rPr>
          <w:rFonts w:ascii="Times New Roman" w:eastAsia="Times New Roman" w:hAnsi="Times New Roman" w:cs="Times New Roman"/>
          <w:sz w:val="24"/>
          <w:szCs w:val="24"/>
          <w:lang w:eastAsia="ru-RU"/>
        </w:rPr>
        <w:t>-</w:t>
      </w:r>
      <w:r w:rsidRPr="001E1EFC">
        <w:rPr>
          <w:rFonts w:ascii="Times New Roman" w:eastAsia="Times New Roman" w:hAnsi="Times New Roman" w:cs="Times New Roman"/>
          <w:sz w:val="24"/>
          <w:szCs w:val="24"/>
          <w:lang w:val="en-US" w:eastAsia="ru-RU"/>
        </w:rPr>
        <w:t>mail</w:t>
      </w:r>
      <w:r w:rsidRPr="001E1EFC">
        <w:rPr>
          <w:rFonts w:ascii="Times New Roman" w:eastAsia="Times New Roman" w:hAnsi="Times New Roman" w:cs="Times New Roman"/>
          <w:sz w:val="24"/>
          <w:szCs w:val="24"/>
          <w:lang w:eastAsia="ru-RU"/>
        </w:rPr>
        <w:t xml:space="preserve"> </w:t>
      </w:r>
      <w:hyperlink r:id="rId6" w:history="1">
        <w:r w:rsidRPr="001E1EFC">
          <w:rPr>
            <w:rFonts w:ascii="Times New Roman" w:eastAsia="Times New Roman" w:hAnsi="Times New Roman" w:cs="Times New Roman"/>
            <w:color w:val="0000FF"/>
            <w:sz w:val="24"/>
            <w:szCs w:val="24"/>
            <w:u w:val="single"/>
            <w:lang w:val="en-US" w:eastAsia="ru-RU"/>
          </w:rPr>
          <w:t>vdn</w:t>
        </w:r>
        <w:r w:rsidRPr="001E1EFC">
          <w:rPr>
            <w:rFonts w:ascii="Times New Roman" w:eastAsia="Times New Roman" w:hAnsi="Times New Roman" w:cs="Times New Roman"/>
            <w:color w:val="0000FF"/>
            <w:sz w:val="24"/>
            <w:szCs w:val="24"/>
            <w:u w:val="single"/>
            <w:lang w:eastAsia="ru-RU"/>
          </w:rPr>
          <w:t>_</w:t>
        </w:r>
        <w:r w:rsidRPr="001E1EFC">
          <w:rPr>
            <w:rFonts w:ascii="Times New Roman" w:eastAsia="Times New Roman" w:hAnsi="Times New Roman" w:cs="Times New Roman"/>
            <w:color w:val="0000FF"/>
            <w:sz w:val="24"/>
            <w:szCs w:val="24"/>
            <w:u w:val="single"/>
            <w:lang w:val="en-US" w:eastAsia="ru-RU"/>
          </w:rPr>
          <w:t>voda</w:t>
        </w:r>
        <w:r w:rsidRPr="001E1EFC">
          <w:rPr>
            <w:rFonts w:ascii="Times New Roman" w:eastAsia="Times New Roman" w:hAnsi="Times New Roman" w:cs="Times New Roman"/>
            <w:color w:val="0000FF"/>
            <w:sz w:val="24"/>
            <w:szCs w:val="24"/>
            <w:u w:val="single"/>
            <w:lang w:eastAsia="ru-RU"/>
          </w:rPr>
          <w:t>@</w:t>
        </w:r>
        <w:r w:rsidRPr="001E1EFC">
          <w:rPr>
            <w:rFonts w:ascii="Times New Roman" w:eastAsia="Times New Roman" w:hAnsi="Times New Roman" w:cs="Times New Roman"/>
            <w:color w:val="0000FF"/>
            <w:sz w:val="24"/>
            <w:szCs w:val="24"/>
            <w:u w:val="single"/>
            <w:lang w:val="en-US" w:eastAsia="ru-RU"/>
          </w:rPr>
          <w:t>ukr</w:t>
        </w:r>
        <w:r w:rsidRPr="001E1EFC">
          <w:rPr>
            <w:rFonts w:ascii="Times New Roman" w:eastAsia="Times New Roman" w:hAnsi="Times New Roman" w:cs="Times New Roman"/>
            <w:color w:val="0000FF"/>
            <w:sz w:val="24"/>
            <w:szCs w:val="24"/>
            <w:u w:val="single"/>
            <w:lang w:eastAsia="ru-RU"/>
          </w:rPr>
          <w:t>.</w:t>
        </w:r>
        <w:r w:rsidRPr="001E1EFC">
          <w:rPr>
            <w:rFonts w:ascii="Times New Roman" w:eastAsia="Times New Roman" w:hAnsi="Times New Roman" w:cs="Times New Roman"/>
            <w:color w:val="0000FF"/>
            <w:sz w:val="24"/>
            <w:szCs w:val="24"/>
            <w:u w:val="single"/>
            <w:lang w:val="en-US" w:eastAsia="ru-RU"/>
          </w:rPr>
          <w:t>net</w:t>
        </w:r>
      </w:hyperlink>
    </w:p>
    <w:p w:rsidR="001E1EFC" w:rsidRDefault="001E1EFC" w:rsidP="001E1EFC">
      <w:pPr>
        <w:rPr>
          <w:rFonts w:ascii="Times New Roman" w:hAnsi="Times New Roman" w:cs="Times New Roman"/>
          <w:sz w:val="28"/>
          <w:szCs w:val="28"/>
        </w:rPr>
      </w:pPr>
    </w:p>
    <w:p w:rsidR="007D00CC" w:rsidRPr="007D00CC" w:rsidRDefault="007D00CC" w:rsidP="007D00CC">
      <w:pPr>
        <w:jc w:val="center"/>
        <w:rPr>
          <w:rFonts w:ascii="Times New Roman" w:hAnsi="Times New Roman" w:cs="Times New Roman"/>
          <w:b/>
          <w:sz w:val="28"/>
          <w:szCs w:val="28"/>
          <w:u w:val="single"/>
        </w:rPr>
      </w:pPr>
      <w:r w:rsidRPr="007D00CC">
        <w:rPr>
          <w:rFonts w:ascii="Times New Roman" w:hAnsi="Times New Roman" w:cs="Times New Roman"/>
          <w:b/>
          <w:sz w:val="28"/>
          <w:szCs w:val="28"/>
          <w:u w:val="single"/>
        </w:rPr>
        <w:t>ПОВІДОМЛЕННЯ</w:t>
      </w:r>
    </w:p>
    <w:p w:rsidR="0073185F" w:rsidRPr="007D00CC" w:rsidRDefault="007D00CC" w:rsidP="00362F51">
      <w:pPr>
        <w:spacing w:after="0"/>
        <w:jc w:val="both"/>
        <w:rPr>
          <w:rFonts w:ascii="Times New Roman" w:hAnsi="Times New Roman" w:cs="Times New Roman"/>
          <w:b/>
          <w:sz w:val="28"/>
          <w:szCs w:val="28"/>
        </w:rPr>
      </w:pPr>
      <w:bookmarkStart w:id="0" w:name="_GoBack"/>
      <w:r w:rsidRPr="007D00CC">
        <w:rPr>
          <w:rFonts w:ascii="Times New Roman" w:hAnsi="Times New Roman" w:cs="Times New Roman"/>
          <w:b/>
          <w:sz w:val="28"/>
          <w:szCs w:val="28"/>
        </w:rPr>
        <w:t xml:space="preserve">про наміри </w:t>
      </w:r>
      <w:r w:rsidR="0073185F" w:rsidRPr="007D00CC">
        <w:rPr>
          <w:rFonts w:ascii="Times New Roman" w:hAnsi="Times New Roman" w:cs="Times New Roman"/>
          <w:b/>
          <w:sz w:val="28"/>
          <w:szCs w:val="28"/>
        </w:rPr>
        <w:t xml:space="preserve"> коригування тарифу на централізоване водопостачання в 2024 році </w:t>
      </w:r>
      <w:r w:rsidR="006D450C">
        <w:rPr>
          <w:rFonts w:ascii="Times New Roman" w:hAnsi="Times New Roman" w:cs="Times New Roman"/>
          <w:b/>
          <w:sz w:val="28"/>
          <w:szCs w:val="28"/>
        </w:rPr>
        <w:t xml:space="preserve">по </w:t>
      </w:r>
      <w:r w:rsidR="0073185F" w:rsidRPr="007D00CC">
        <w:rPr>
          <w:rFonts w:ascii="Times New Roman" w:hAnsi="Times New Roman" w:cs="Times New Roman"/>
          <w:b/>
          <w:sz w:val="28"/>
          <w:szCs w:val="28"/>
        </w:rPr>
        <w:t>К</w:t>
      </w:r>
      <w:r w:rsidR="006D450C">
        <w:rPr>
          <w:rFonts w:ascii="Times New Roman" w:hAnsi="Times New Roman" w:cs="Times New Roman"/>
          <w:b/>
          <w:sz w:val="28"/>
          <w:szCs w:val="28"/>
        </w:rPr>
        <w:t>П</w:t>
      </w:r>
      <w:r w:rsidR="0073185F" w:rsidRPr="007D00CC">
        <w:rPr>
          <w:rFonts w:ascii="Times New Roman" w:hAnsi="Times New Roman" w:cs="Times New Roman"/>
          <w:b/>
          <w:sz w:val="28"/>
          <w:szCs w:val="28"/>
        </w:rPr>
        <w:t xml:space="preserve"> «Верхньодніпровське виробниче управління водопровідно-каналізаційного господарства» Дніпропетровської обласної ради»,</w:t>
      </w:r>
      <w:r w:rsidRPr="007D00CC">
        <w:rPr>
          <w:rFonts w:ascii="Times New Roman" w:hAnsi="Times New Roman" w:cs="Times New Roman"/>
          <w:b/>
          <w:sz w:val="28"/>
          <w:szCs w:val="28"/>
        </w:rPr>
        <w:t xml:space="preserve"> зд</w:t>
      </w:r>
      <w:r w:rsidR="00362F51">
        <w:rPr>
          <w:rFonts w:ascii="Times New Roman" w:hAnsi="Times New Roman" w:cs="Times New Roman"/>
          <w:b/>
          <w:sz w:val="28"/>
          <w:szCs w:val="28"/>
        </w:rPr>
        <w:t>ійснити зміну вартості (тарифу),</w:t>
      </w:r>
      <w:r w:rsidR="0073185F" w:rsidRPr="007D00CC">
        <w:rPr>
          <w:rFonts w:ascii="Times New Roman" w:hAnsi="Times New Roman" w:cs="Times New Roman"/>
          <w:b/>
          <w:sz w:val="28"/>
          <w:szCs w:val="28"/>
        </w:rPr>
        <w:t xml:space="preserve"> встановлен</w:t>
      </w:r>
      <w:r w:rsidR="00362F51">
        <w:rPr>
          <w:rFonts w:ascii="Times New Roman" w:hAnsi="Times New Roman" w:cs="Times New Roman"/>
          <w:b/>
          <w:sz w:val="28"/>
          <w:szCs w:val="28"/>
        </w:rPr>
        <w:t>ого</w:t>
      </w:r>
      <w:r w:rsidR="0073185F" w:rsidRPr="007D00CC">
        <w:rPr>
          <w:rFonts w:ascii="Times New Roman" w:hAnsi="Times New Roman" w:cs="Times New Roman"/>
          <w:b/>
          <w:sz w:val="28"/>
          <w:szCs w:val="28"/>
        </w:rPr>
        <w:t xml:space="preserve"> рішенням Дніпропетровської обласної ради від 13.03.2024 року №379-19/</w:t>
      </w:r>
      <w:r w:rsidR="0073185F" w:rsidRPr="007D00CC">
        <w:rPr>
          <w:rFonts w:ascii="Times New Roman" w:hAnsi="Times New Roman" w:cs="Times New Roman"/>
          <w:b/>
          <w:sz w:val="28"/>
          <w:szCs w:val="28"/>
          <w:lang w:val="en-US"/>
        </w:rPr>
        <w:t>VIII</w:t>
      </w:r>
      <w:r w:rsidRPr="007D00CC">
        <w:rPr>
          <w:rFonts w:ascii="Times New Roman" w:hAnsi="Times New Roman" w:cs="Times New Roman"/>
          <w:b/>
          <w:sz w:val="28"/>
          <w:szCs w:val="28"/>
        </w:rPr>
        <w:t xml:space="preserve"> </w:t>
      </w:r>
    </w:p>
    <w:bookmarkEnd w:id="0"/>
    <w:p w:rsidR="001C6DCF" w:rsidRPr="0073185F" w:rsidRDefault="001C6DCF" w:rsidP="00362F51">
      <w:pPr>
        <w:spacing w:after="0"/>
        <w:jc w:val="both"/>
        <w:rPr>
          <w:rFonts w:ascii="Times New Roman" w:hAnsi="Times New Roman" w:cs="Times New Roman"/>
          <w:b/>
          <w:sz w:val="28"/>
          <w:szCs w:val="28"/>
        </w:rPr>
      </w:pPr>
    </w:p>
    <w:p w:rsidR="0073185F" w:rsidRDefault="0073185F" w:rsidP="00362F51">
      <w:pPr>
        <w:spacing w:after="0"/>
        <w:jc w:val="both"/>
        <w:rPr>
          <w:rFonts w:ascii="Times New Roman" w:hAnsi="Times New Roman" w:cs="Times New Roman"/>
          <w:sz w:val="28"/>
          <w:szCs w:val="28"/>
        </w:rPr>
      </w:pPr>
      <w:r w:rsidRPr="0073185F">
        <w:rPr>
          <w:rFonts w:ascii="Times New Roman" w:hAnsi="Times New Roman" w:cs="Times New Roman"/>
          <w:sz w:val="28"/>
          <w:szCs w:val="28"/>
        </w:rPr>
        <w:t xml:space="preserve">  </w:t>
      </w:r>
      <w:r>
        <w:rPr>
          <w:rFonts w:ascii="Times New Roman" w:hAnsi="Times New Roman" w:cs="Times New Roman"/>
          <w:sz w:val="28"/>
          <w:szCs w:val="28"/>
        </w:rPr>
        <w:t xml:space="preserve">   Діючий тариф КП «ВВУВКГ»ДОР» на централізоване водопостачання та централізоване водовідведення були розраховані і прийняті з 01 квітня 2024 року, згідно рішення Дніпропетровської обласної ради від 13.03.2024 №379-19/</w:t>
      </w:r>
      <w:r>
        <w:rPr>
          <w:rFonts w:ascii="Times New Roman" w:hAnsi="Times New Roman" w:cs="Times New Roman"/>
          <w:sz w:val="28"/>
          <w:szCs w:val="28"/>
          <w:lang w:val="en-US"/>
        </w:rPr>
        <w:t>VIII</w:t>
      </w:r>
      <w:r>
        <w:rPr>
          <w:rFonts w:ascii="Times New Roman" w:hAnsi="Times New Roman" w:cs="Times New Roman"/>
          <w:sz w:val="28"/>
          <w:szCs w:val="28"/>
        </w:rPr>
        <w:t>.</w:t>
      </w:r>
    </w:p>
    <w:p w:rsidR="007D00CC" w:rsidRPr="006D450C" w:rsidRDefault="0073185F" w:rsidP="006D450C">
      <w:pPr>
        <w:spacing w:after="0" w:line="240" w:lineRule="auto"/>
        <w:jc w:val="both"/>
        <w:rPr>
          <w:rFonts w:ascii="Times New Roman" w:hAnsi="Times New Roman" w:cs="Times New Roman"/>
          <w:sz w:val="28"/>
          <w:szCs w:val="28"/>
        </w:rPr>
      </w:pPr>
      <w:r w:rsidRPr="006D450C">
        <w:rPr>
          <w:rFonts w:ascii="Times New Roman" w:hAnsi="Times New Roman" w:cs="Times New Roman"/>
          <w:sz w:val="28"/>
          <w:szCs w:val="28"/>
        </w:rPr>
        <w:t xml:space="preserve">    Відповідно до нормативних вимог, а саме Постанови КМУ від </w:t>
      </w:r>
      <w:r w:rsidR="00384C7C" w:rsidRPr="006D450C">
        <w:rPr>
          <w:rFonts w:ascii="Times New Roman" w:hAnsi="Times New Roman" w:cs="Times New Roman"/>
          <w:sz w:val="28"/>
          <w:szCs w:val="28"/>
        </w:rPr>
        <w:t>01.06.2011  №869 (зі змінами)</w:t>
      </w:r>
      <w:r w:rsidR="00362F51">
        <w:rPr>
          <w:rFonts w:ascii="Times New Roman" w:hAnsi="Times New Roman" w:cs="Times New Roman"/>
          <w:sz w:val="28"/>
          <w:szCs w:val="28"/>
        </w:rPr>
        <w:t>,</w:t>
      </w:r>
      <w:r w:rsidR="00384C7C" w:rsidRPr="006D450C">
        <w:rPr>
          <w:rFonts w:ascii="Times New Roman" w:hAnsi="Times New Roman" w:cs="Times New Roman"/>
          <w:sz w:val="28"/>
          <w:szCs w:val="28"/>
        </w:rPr>
        <w:t xml:space="preserve"> п.7 Порядку формування тарифів на централізоване водопостачання та централізоване водовідведення, визначено чинність проведення коригування тарифу.</w:t>
      </w:r>
      <w:r w:rsidR="0046665F">
        <w:rPr>
          <w:rFonts w:ascii="Times New Roman" w:hAnsi="Times New Roman" w:cs="Times New Roman"/>
          <w:sz w:val="28"/>
          <w:szCs w:val="28"/>
        </w:rPr>
        <w:t xml:space="preserve"> Основною причиною коригування тарифу стало підвищення тарифу покупної води (згідно Постанови НКРЕКП від 28.05.2024р. №1002), яка є вагомою статтею в структурі тарифу.</w:t>
      </w:r>
      <w:r w:rsidR="007D00CC" w:rsidRPr="006D450C">
        <w:rPr>
          <w:rFonts w:ascii="Times New Roman" w:hAnsi="Times New Roman" w:cs="Times New Roman"/>
          <w:sz w:val="28"/>
          <w:szCs w:val="28"/>
        </w:rPr>
        <w:t xml:space="preserve"> </w:t>
      </w:r>
      <w:r w:rsidR="0046665F">
        <w:rPr>
          <w:rFonts w:ascii="Times New Roman" w:hAnsi="Times New Roman" w:cs="Times New Roman"/>
          <w:sz w:val="28"/>
          <w:szCs w:val="28"/>
        </w:rPr>
        <w:t xml:space="preserve">Зважаючи на наведене, </w:t>
      </w:r>
      <w:r w:rsidR="007D00CC" w:rsidRPr="006D450C">
        <w:rPr>
          <w:rFonts w:ascii="Times New Roman" w:hAnsi="Times New Roman" w:cs="Times New Roman"/>
          <w:sz w:val="28"/>
          <w:szCs w:val="28"/>
        </w:rPr>
        <w:t xml:space="preserve"> КП «ВВУВКГ»ДОР» інформує споживачів міста, </w:t>
      </w:r>
      <w:r w:rsidR="006D450C" w:rsidRPr="006D450C">
        <w:rPr>
          <w:rFonts w:ascii="Times New Roman" w:hAnsi="Times New Roman" w:cs="Times New Roman"/>
          <w:sz w:val="28"/>
          <w:szCs w:val="28"/>
        </w:rPr>
        <w:t xml:space="preserve"> про</w:t>
      </w:r>
      <w:r w:rsidR="00362F51">
        <w:rPr>
          <w:rFonts w:ascii="Times New Roman" w:hAnsi="Times New Roman" w:cs="Times New Roman"/>
          <w:sz w:val="28"/>
          <w:szCs w:val="28"/>
        </w:rPr>
        <w:t xml:space="preserve"> наміри</w:t>
      </w:r>
      <w:r w:rsidR="006D450C" w:rsidRPr="006D450C">
        <w:rPr>
          <w:rFonts w:ascii="Times New Roman" w:hAnsi="Times New Roman" w:cs="Times New Roman"/>
          <w:sz w:val="28"/>
          <w:szCs w:val="28"/>
        </w:rPr>
        <w:t xml:space="preserve"> змін</w:t>
      </w:r>
      <w:r w:rsidR="00362F51">
        <w:rPr>
          <w:rFonts w:ascii="Times New Roman" w:hAnsi="Times New Roman" w:cs="Times New Roman"/>
          <w:sz w:val="28"/>
          <w:szCs w:val="28"/>
        </w:rPr>
        <w:t>и</w:t>
      </w:r>
      <w:r w:rsidR="006D450C" w:rsidRPr="006D450C">
        <w:rPr>
          <w:rFonts w:ascii="Times New Roman" w:hAnsi="Times New Roman" w:cs="Times New Roman"/>
          <w:sz w:val="28"/>
          <w:szCs w:val="28"/>
        </w:rPr>
        <w:t xml:space="preserve"> тарифу</w:t>
      </w:r>
      <w:r w:rsidR="007D00CC" w:rsidRPr="006D450C">
        <w:rPr>
          <w:rFonts w:ascii="Times New Roman" w:hAnsi="Times New Roman" w:cs="Times New Roman"/>
          <w:sz w:val="28"/>
          <w:szCs w:val="28"/>
        </w:rPr>
        <w:t xml:space="preserve"> на послуги </w:t>
      </w:r>
      <w:r w:rsidR="006D450C" w:rsidRPr="006D450C">
        <w:rPr>
          <w:rFonts w:ascii="Times New Roman" w:hAnsi="Times New Roman" w:cs="Times New Roman"/>
          <w:b/>
          <w:sz w:val="28"/>
          <w:szCs w:val="28"/>
        </w:rPr>
        <w:t>ц</w:t>
      </w:r>
      <w:r w:rsidR="00362F51">
        <w:rPr>
          <w:rFonts w:ascii="Times New Roman" w:hAnsi="Times New Roman" w:cs="Times New Roman"/>
          <w:b/>
          <w:sz w:val="28"/>
          <w:szCs w:val="28"/>
        </w:rPr>
        <w:t xml:space="preserve">ентралізованого водопостачання, який складе </w:t>
      </w:r>
      <w:r w:rsidR="006D450C" w:rsidRPr="006D450C">
        <w:rPr>
          <w:rFonts w:ascii="Times New Roman" w:hAnsi="Times New Roman" w:cs="Times New Roman"/>
          <w:b/>
          <w:sz w:val="28"/>
          <w:szCs w:val="28"/>
        </w:rPr>
        <w:t xml:space="preserve"> 35,71 грн. (без  ПДВ)</w:t>
      </w:r>
      <w:r w:rsidR="007D00CC" w:rsidRPr="006D450C">
        <w:rPr>
          <w:rFonts w:ascii="Times New Roman" w:hAnsi="Times New Roman" w:cs="Times New Roman"/>
          <w:sz w:val="28"/>
          <w:szCs w:val="28"/>
        </w:rPr>
        <w:t xml:space="preserve">  з 01.0</w:t>
      </w:r>
      <w:r w:rsidR="00DC07E1" w:rsidRPr="006D450C">
        <w:rPr>
          <w:rFonts w:ascii="Times New Roman" w:hAnsi="Times New Roman" w:cs="Times New Roman"/>
          <w:sz w:val="28"/>
          <w:szCs w:val="28"/>
        </w:rPr>
        <w:t>7</w:t>
      </w:r>
      <w:r w:rsidR="007D00CC" w:rsidRPr="006D450C">
        <w:rPr>
          <w:rFonts w:ascii="Times New Roman" w:hAnsi="Times New Roman" w:cs="Times New Roman"/>
          <w:sz w:val="28"/>
          <w:szCs w:val="28"/>
        </w:rPr>
        <w:t>.2024 року:</w:t>
      </w:r>
    </w:p>
    <w:p w:rsidR="007D00CC" w:rsidRPr="007D00CC" w:rsidRDefault="007D00CC" w:rsidP="006D450C">
      <w:pPr>
        <w:spacing w:after="0" w:line="240" w:lineRule="auto"/>
        <w:ind w:left="720"/>
        <w:jc w:val="both"/>
        <w:rPr>
          <w:rFonts w:ascii="Times New Roman" w:hAnsi="Times New Roman" w:cs="Times New Roman"/>
          <w:sz w:val="28"/>
          <w:szCs w:val="28"/>
        </w:rPr>
      </w:pPr>
    </w:p>
    <w:p w:rsidR="00742B04" w:rsidRDefault="0073185F" w:rsidP="0073185F">
      <w:pPr>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W w:w="8974" w:type="dxa"/>
        <w:tblInd w:w="93" w:type="dxa"/>
        <w:tblLayout w:type="fixed"/>
        <w:tblLook w:val="04A0" w:firstRow="1" w:lastRow="0" w:firstColumn="1" w:lastColumn="0" w:noHBand="0" w:noVBand="1"/>
      </w:tblPr>
      <w:tblGrid>
        <w:gridCol w:w="724"/>
        <w:gridCol w:w="3006"/>
        <w:gridCol w:w="992"/>
        <w:gridCol w:w="992"/>
        <w:gridCol w:w="1134"/>
        <w:gridCol w:w="992"/>
        <w:gridCol w:w="1134"/>
      </w:tblGrid>
      <w:tr w:rsidR="009111C2" w:rsidRPr="009111C2" w:rsidTr="00C55FBC">
        <w:trPr>
          <w:trHeight w:val="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1C2" w:rsidRPr="009111C2" w:rsidRDefault="009111C2" w:rsidP="00E901B5">
            <w:pPr>
              <w:jc w:val="center"/>
              <w:rPr>
                <w:rFonts w:ascii="Times New Roman" w:hAnsi="Times New Roman" w:cs="Times New Roman"/>
                <w:bCs/>
                <w:sz w:val="18"/>
                <w:szCs w:val="18"/>
              </w:rPr>
            </w:pPr>
            <w:r w:rsidRPr="009111C2">
              <w:rPr>
                <w:rFonts w:ascii="Times New Roman" w:hAnsi="Times New Roman" w:cs="Times New Roman"/>
                <w:bCs/>
                <w:sz w:val="18"/>
                <w:szCs w:val="18"/>
              </w:rPr>
              <w:t>№</w:t>
            </w:r>
            <w:r w:rsidRPr="009111C2">
              <w:rPr>
                <w:rFonts w:ascii="Times New Roman" w:hAnsi="Times New Roman" w:cs="Times New Roman"/>
                <w:bCs/>
                <w:sz w:val="18"/>
                <w:szCs w:val="18"/>
              </w:rPr>
              <w:br/>
              <w:t>з/п</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1C2" w:rsidRPr="009111C2" w:rsidRDefault="009111C2" w:rsidP="00E901B5">
            <w:pPr>
              <w:jc w:val="center"/>
              <w:rPr>
                <w:rFonts w:ascii="Times New Roman" w:hAnsi="Times New Roman" w:cs="Times New Roman"/>
                <w:bCs/>
                <w:sz w:val="18"/>
                <w:szCs w:val="18"/>
              </w:rPr>
            </w:pPr>
            <w:r w:rsidRPr="009111C2">
              <w:rPr>
                <w:rFonts w:ascii="Times New Roman" w:hAnsi="Times New Roman" w:cs="Times New Roman"/>
                <w:bCs/>
                <w:sz w:val="18"/>
                <w:szCs w:val="18"/>
              </w:rPr>
              <w:t>Найменування показників</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9111C2" w:rsidRPr="009111C2" w:rsidRDefault="009111C2" w:rsidP="00E901B5">
            <w:pPr>
              <w:jc w:val="center"/>
              <w:rPr>
                <w:rFonts w:ascii="Times New Roman" w:hAnsi="Times New Roman" w:cs="Times New Roman"/>
                <w:bCs/>
                <w:sz w:val="18"/>
                <w:szCs w:val="18"/>
              </w:rPr>
            </w:pPr>
            <w:r w:rsidRPr="009111C2">
              <w:rPr>
                <w:rFonts w:ascii="Times New Roman" w:hAnsi="Times New Roman" w:cs="Times New Roman"/>
                <w:bCs/>
                <w:sz w:val="18"/>
                <w:szCs w:val="18"/>
              </w:rPr>
              <w:t>Структура діючого тарифу на централізоване водопостачання</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9111C2" w:rsidRPr="009111C2" w:rsidRDefault="009111C2" w:rsidP="00E901B5">
            <w:pPr>
              <w:jc w:val="center"/>
              <w:rPr>
                <w:rFonts w:ascii="Times New Roman" w:hAnsi="Times New Roman" w:cs="Times New Roman"/>
                <w:bCs/>
                <w:sz w:val="18"/>
                <w:szCs w:val="18"/>
              </w:rPr>
            </w:pPr>
            <w:r w:rsidRPr="009111C2">
              <w:rPr>
                <w:rFonts w:ascii="Times New Roman" w:hAnsi="Times New Roman" w:cs="Times New Roman"/>
                <w:bCs/>
                <w:sz w:val="18"/>
                <w:szCs w:val="18"/>
              </w:rPr>
              <w:t>Структура зі змінами на централізоване водопостачання</w:t>
            </w:r>
          </w:p>
        </w:tc>
        <w:tc>
          <w:tcPr>
            <w:tcW w:w="1134" w:type="dxa"/>
            <w:tcBorders>
              <w:top w:val="single" w:sz="4" w:space="0" w:color="auto"/>
              <w:left w:val="nil"/>
              <w:bottom w:val="single" w:sz="4" w:space="0" w:color="auto"/>
              <w:right w:val="single" w:sz="4" w:space="0" w:color="000000"/>
            </w:tcBorders>
          </w:tcPr>
          <w:p w:rsidR="009111C2" w:rsidRDefault="009111C2" w:rsidP="009111C2">
            <w:pPr>
              <w:jc w:val="center"/>
              <w:rPr>
                <w:rFonts w:ascii="Times New Roman" w:hAnsi="Times New Roman" w:cs="Times New Roman"/>
                <w:bCs/>
                <w:sz w:val="18"/>
                <w:szCs w:val="18"/>
              </w:rPr>
            </w:pPr>
          </w:p>
          <w:p w:rsidR="009111C2" w:rsidRPr="009111C2" w:rsidRDefault="009111C2" w:rsidP="009111C2">
            <w:pPr>
              <w:jc w:val="center"/>
              <w:rPr>
                <w:rFonts w:ascii="Times New Roman" w:hAnsi="Times New Roman" w:cs="Times New Roman"/>
                <w:bCs/>
                <w:sz w:val="18"/>
                <w:szCs w:val="18"/>
              </w:rPr>
            </w:pPr>
            <w:r w:rsidRPr="009111C2">
              <w:rPr>
                <w:rFonts w:ascii="Times New Roman" w:hAnsi="Times New Roman" w:cs="Times New Roman"/>
                <w:bCs/>
                <w:sz w:val="18"/>
                <w:szCs w:val="18"/>
              </w:rPr>
              <w:t>Відхилення структури</w:t>
            </w:r>
          </w:p>
        </w:tc>
      </w:tr>
      <w:tr w:rsidR="00C55FBC" w:rsidRPr="009111C2" w:rsidTr="00C55FBC">
        <w:trPr>
          <w:trHeight w:val="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55FBC" w:rsidRPr="009111C2" w:rsidRDefault="00C55FBC" w:rsidP="009111C2">
            <w:pPr>
              <w:rPr>
                <w:rFonts w:ascii="Times New Roman" w:hAnsi="Times New Roman" w:cs="Times New Roman"/>
                <w:bCs/>
                <w:sz w:val="18"/>
                <w:szCs w:val="18"/>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C55FBC" w:rsidRPr="009111C2" w:rsidRDefault="00C55FBC" w:rsidP="009111C2">
            <w:pPr>
              <w:rPr>
                <w:rFonts w:ascii="Times New Roman" w:hAnsi="Times New Roman" w:cs="Times New Roman"/>
                <w:bCs/>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9111C2">
            <w:pPr>
              <w:jc w:val="center"/>
              <w:rPr>
                <w:rFonts w:ascii="Times New Roman" w:hAnsi="Times New Roman" w:cs="Times New Roman"/>
                <w:sz w:val="18"/>
                <w:szCs w:val="18"/>
              </w:rPr>
            </w:pPr>
            <w:r w:rsidRPr="009111C2">
              <w:rPr>
                <w:rFonts w:ascii="Times New Roman" w:hAnsi="Times New Roman" w:cs="Times New Roman"/>
                <w:sz w:val="18"/>
                <w:szCs w:val="18"/>
              </w:rPr>
              <w:t>тис. грн       на рік</w:t>
            </w:r>
          </w:p>
        </w:tc>
        <w:tc>
          <w:tcPr>
            <w:tcW w:w="992"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9111C2">
            <w:pPr>
              <w:jc w:val="center"/>
              <w:rPr>
                <w:rFonts w:ascii="Times New Roman" w:hAnsi="Times New Roman" w:cs="Times New Roman"/>
                <w:sz w:val="18"/>
                <w:szCs w:val="18"/>
              </w:rPr>
            </w:pPr>
          </w:p>
          <w:p w:rsidR="00C55FBC" w:rsidRPr="009111C2" w:rsidRDefault="00C55FBC" w:rsidP="009111C2">
            <w:pPr>
              <w:jc w:val="center"/>
              <w:rPr>
                <w:rFonts w:ascii="Times New Roman" w:hAnsi="Times New Roman" w:cs="Times New Roman"/>
                <w:bCs/>
                <w:sz w:val="18"/>
                <w:szCs w:val="18"/>
              </w:rPr>
            </w:pPr>
            <w:r w:rsidRPr="009111C2">
              <w:rPr>
                <w:rFonts w:ascii="Times New Roman" w:hAnsi="Times New Roman" w:cs="Times New Roman"/>
                <w:sz w:val="18"/>
                <w:szCs w:val="18"/>
              </w:rPr>
              <w:t>грн/м</w:t>
            </w:r>
            <w:r w:rsidRPr="009111C2">
              <w:rPr>
                <w:rFonts w:ascii="Times New Roman" w:hAnsi="Times New Roman" w:cs="Times New Roman"/>
                <w:sz w:val="18"/>
                <w:szCs w:val="18"/>
                <w:vertAlign w:val="superscript"/>
              </w:rPr>
              <w:t>3</w:t>
            </w:r>
          </w:p>
          <w:p w:rsidR="00C55FBC" w:rsidRPr="009111C2" w:rsidRDefault="00C55FBC" w:rsidP="009111C2">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9111C2">
            <w:pPr>
              <w:jc w:val="center"/>
              <w:rPr>
                <w:rFonts w:ascii="Times New Roman" w:hAnsi="Times New Roman" w:cs="Times New Roman"/>
                <w:sz w:val="18"/>
                <w:szCs w:val="18"/>
              </w:rPr>
            </w:pPr>
            <w:r w:rsidRPr="009111C2">
              <w:rPr>
                <w:rFonts w:ascii="Times New Roman" w:hAnsi="Times New Roman" w:cs="Times New Roman"/>
                <w:sz w:val="18"/>
                <w:szCs w:val="18"/>
              </w:rPr>
              <w:t>тис. грн         на рік</w:t>
            </w:r>
          </w:p>
        </w:tc>
        <w:tc>
          <w:tcPr>
            <w:tcW w:w="992"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9111C2">
            <w:pPr>
              <w:jc w:val="center"/>
              <w:rPr>
                <w:rFonts w:ascii="Times New Roman" w:hAnsi="Times New Roman" w:cs="Times New Roman"/>
                <w:sz w:val="18"/>
                <w:szCs w:val="18"/>
              </w:rPr>
            </w:pPr>
          </w:p>
          <w:p w:rsidR="00C55FBC" w:rsidRPr="009111C2" w:rsidRDefault="00C55FBC" w:rsidP="009111C2">
            <w:pPr>
              <w:jc w:val="center"/>
              <w:rPr>
                <w:rFonts w:ascii="Times New Roman" w:hAnsi="Times New Roman" w:cs="Times New Roman"/>
                <w:bCs/>
                <w:sz w:val="18"/>
                <w:szCs w:val="18"/>
              </w:rPr>
            </w:pPr>
            <w:r w:rsidRPr="009111C2">
              <w:rPr>
                <w:rFonts w:ascii="Times New Roman" w:hAnsi="Times New Roman" w:cs="Times New Roman"/>
                <w:sz w:val="18"/>
                <w:szCs w:val="18"/>
              </w:rPr>
              <w:t>грн/м</w:t>
            </w:r>
            <w:r w:rsidRPr="009111C2">
              <w:rPr>
                <w:rFonts w:ascii="Times New Roman" w:hAnsi="Times New Roman" w:cs="Times New Roman"/>
                <w:sz w:val="18"/>
                <w:szCs w:val="18"/>
                <w:vertAlign w:val="superscript"/>
              </w:rPr>
              <w:t>3</w:t>
            </w:r>
          </w:p>
          <w:p w:rsidR="00C55FBC" w:rsidRPr="009111C2" w:rsidRDefault="00C55FBC" w:rsidP="009111C2">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C55FBC" w:rsidRPr="009111C2" w:rsidRDefault="00C55FBC" w:rsidP="009111C2">
            <w:pPr>
              <w:jc w:val="center"/>
              <w:rPr>
                <w:rFonts w:ascii="Times New Roman" w:hAnsi="Times New Roman" w:cs="Times New Roman"/>
                <w:sz w:val="18"/>
                <w:szCs w:val="18"/>
              </w:rPr>
            </w:pPr>
            <w:r w:rsidRPr="009111C2">
              <w:rPr>
                <w:rFonts w:ascii="Times New Roman" w:hAnsi="Times New Roman" w:cs="Times New Roman"/>
                <w:sz w:val="18"/>
                <w:szCs w:val="18"/>
              </w:rPr>
              <w:t>тис. грн         на рік</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sz w:val="18"/>
                <w:szCs w:val="18"/>
              </w:rPr>
            </w:pPr>
            <w:r w:rsidRPr="009111C2">
              <w:rPr>
                <w:rFonts w:ascii="Times New Roman" w:hAnsi="Times New Roman" w:cs="Times New Roman"/>
                <w:b/>
                <w:bCs/>
                <w:sz w:val="18"/>
                <w:szCs w:val="18"/>
              </w:rPr>
              <w:t>1</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sz w:val="18"/>
                <w:szCs w:val="18"/>
              </w:rPr>
            </w:pPr>
            <w:r w:rsidRPr="009111C2">
              <w:rPr>
                <w:rFonts w:ascii="Times New Roman" w:hAnsi="Times New Roman" w:cs="Times New Roman"/>
                <w:b/>
                <w:bCs/>
                <w:sz w:val="18"/>
                <w:szCs w:val="18"/>
              </w:rPr>
              <w:t>Виробнича собівартість, у т.ч.:</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20284,64</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27,64</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23513,30</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32,04</w:t>
            </w:r>
            <w:r w:rsidRPr="009111C2">
              <w:rPr>
                <w:rFonts w:ascii="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tcPr>
          <w:p w:rsidR="00C55FBC" w:rsidRPr="009111C2" w:rsidRDefault="001C6DCF" w:rsidP="00C55FBC">
            <w:pPr>
              <w:jc w:val="center"/>
              <w:rPr>
                <w:rFonts w:ascii="Times New Roman" w:hAnsi="Times New Roman" w:cs="Times New Roman"/>
                <w:b/>
                <w:bCs/>
                <w:color w:val="000000"/>
                <w:sz w:val="18"/>
                <w:szCs w:val="18"/>
              </w:rPr>
            </w:pPr>
            <w:r>
              <w:rPr>
                <w:rFonts w:ascii="Times New Roman" w:hAnsi="Times New Roman" w:cs="Times New Roman"/>
                <w:color w:val="000000"/>
                <w:sz w:val="18"/>
                <w:szCs w:val="18"/>
              </w:rPr>
              <w:t>+3228,66</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i/>
                <w:sz w:val="18"/>
                <w:szCs w:val="18"/>
              </w:rPr>
            </w:pPr>
            <w:r w:rsidRPr="009111C2">
              <w:rPr>
                <w:rFonts w:ascii="Times New Roman" w:hAnsi="Times New Roman" w:cs="Times New Roman"/>
                <w:b/>
                <w:bCs/>
                <w:i/>
                <w:sz w:val="18"/>
                <w:szCs w:val="18"/>
              </w:rPr>
              <w:t>1.1</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i/>
                <w:sz w:val="18"/>
                <w:szCs w:val="18"/>
              </w:rPr>
            </w:pPr>
            <w:r w:rsidRPr="009111C2">
              <w:rPr>
                <w:rFonts w:ascii="Times New Roman" w:hAnsi="Times New Roman" w:cs="Times New Roman"/>
                <w:b/>
                <w:bCs/>
                <w:i/>
                <w:sz w:val="18"/>
                <w:szCs w:val="18"/>
              </w:rPr>
              <w:t>прямі матеріальні витрати</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9842,85</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13,41</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Pr>
                <w:rFonts w:ascii="Times New Roman" w:hAnsi="Times New Roman" w:cs="Times New Roman"/>
                <w:b/>
                <w:bCs/>
                <w:i/>
                <w:color w:val="000000"/>
                <w:sz w:val="18"/>
                <w:szCs w:val="18"/>
              </w:rPr>
              <w:t>13071,51</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Pr>
                <w:rFonts w:ascii="Times New Roman" w:hAnsi="Times New Roman" w:cs="Times New Roman"/>
                <w:b/>
                <w:bCs/>
                <w:i/>
                <w:color w:val="000000"/>
                <w:sz w:val="18"/>
                <w:szCs w:val="18"/>
              </w:rPr>
              <w:t>17,81</w:t>
            </w:r>
          </w:p>
        </w:tc>
        <w:tc>
          <w:tcPr>
            <w:tcW w:w="1134" w:type="dxa"/>
            <w:tcBorders>
              <w:top w:val="nil"/>
              <w:left w:val="nil"/>
              <w:bottom w:val="single" w:sz="4" w:space="0" w:color="auto"/>
              <w:right w:val="single" w:sz="4" w:space="0" w:color="auto"/>
            </w:tcBorders>
          </w:tcPr>
          <w:p w:rsidR="00C55FBC" w:rsidRPr="009111C2" w:rsidRDefault="001C6DCF" w:rsidP="00C55FBC">
            <w:pPr>
              <w:jc w:val="center"/>
              <w:rPr>
                <w:rFonts w:ascii="Times New Roman" w:hAnsi="Times New Roman" w:cs="Times New Roman"/>
                <w:b/>
                <w:bCs/>
                <w:i/>
                <w:color w:val="000000"/>
                <w:sz w:val="18"/>
                <w:szCs w:val="18"/>
              </w:rPr>
            </w:pPr>
            <w:r>
              <w:rPr>
                <w:rFonts w:ascii="Times New Roman" w:hAnsi="Times New Roman" w:cs="Times New Roman"/>
                <w:color w:val="000000"/>
                <w:sz w:val="18"/>
                <w:szCs w:val="18"/>
              </w:rPr>
              <w:t>+3228,66</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i/>
                <w:sz w:val="18"/>
                <w:szCs w:val="18"/>
              </w:rPr>
            </w:pPr>
            <w:r w:rsidRPr="009111C2">
              <w:rPr>
                <w:rFonts w:ascii="Times New Roman" w:hAnsi="Times New Roman" w:cs="Times New Roman"/>
                <w:b/>
                <w:bCs/>
                <w:i/>
                <w:sz w:val="18"/>
                <w:szCs w:val="18"/>
              </w:rPr>
              <w:t>1.2</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i/>
                <w:sz w:val="18"/>
                <w:szCs w:val="18"/>
              </w:rPr>
            </w:pPr>
            <w:r w:rsidRPr="009111C2">
              <w:rPr>
                <w:rFonts w:ascii="Times New Roman" w:hAnsi="Times New Roman" w:cs="Times New Roman"/>
                <w:b/>
                <w:bCs/>
                <w:i/>
                <w:sz w:val="18"/>
                <w:szCs w:val="18"/>
              </w:rPr>
              <w:t>прямі витрати на оплату праці</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4909,9</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6,69</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4909,9</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6,69</w:t>
            </w:r>
          </w:p>
        </w:tc>
        <w:tc>
          <w:tcPr>
            <w:tcW w:w="1134" w:type="dxa"/>
            <w:tcBorders>
              <w:top w:val="nil"/>
              <w:left w:val="nil"/>
              <w:bottom w:val="single" w:sz="4" w:space="0" w:color="auto"/>
              <w:right w:val="single" w:sz="4" w:space="0" w:color="auto"/>
            </w:tcBorders>
          </w:tcPr>
          <w:p w:rsidR="00C55FBC" w:rsidRPr="009111C2" w:rsidRDefault="001C6DCF" w:rsidP="00C55FBC">
            <w:pPr>
              <w:jc w:val="center"/>
              <w:rPr>
                <w:rFonts w:ascii="Times New Roman" w:hAnsi="Times New Roman" w:cs="Times New Roman"/>
                <w:b/>
                <w:bCs/>
                <w:i/>
                <w:color w:val="000000"/>
                <w:sz w:val="18"/>
                <w:szCs w:val="18"/>
              </w:rPr>
            </w:pPr>
            <w:r>
              <w:rPr>
                <w:rFonts w:ascii="Times New Roman" w:hAnsi="Times New Roman" w:cs="Times New Roman"/>
                <w:b/>
                <w:bCs/>
                <w:i/>
                <w:color w:val="000000"/>
                <w:sz w:val="18"/>
                <w:szCs w:val="18"/>
              </w:rPr>
              <w:t>0</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i/>
                <w:sz w:val="18"/>
                <w:szCs w:val="18"/>
              </w:rPr>
            </w:pPr>
            <w:r w:rsidRPr="009111C2">
              <w:rPr>
                <w:rFonts w:ascii="Times New Roman" w:hAnsi="Times New Roman" w:cs="Times New Roman"/>
                <w:b/>
                <w:bCs/>
                <w:i/>
                <w:sz w:val="18"/>
                <w:szCs w:val="18"/>
              </w:rPr>
              <w:t>1.3</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i/>
                <w:sz w:val="18"/>
                <w:szCs w:val="18"/>
              </w:rPr>
            </w:pPr>
            <w:r w:rsidRPr="009111C2">
              <w:rPr>
                <w:rFonts w:ascii="Times New Roman" w:hAnsi="Times New Roman" w:cs="Times New Roman"/>
                <w:b/>
                <w:bCs/>
                <w:i/>
                <w:sz w:val="18"/>
                <w:szCs w:val="18"/>
              </w:rPr>
              <w:t>інші прямі витрати, у т.ч.:</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1280,11</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1,75</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1280,11</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1,75</w:t>
            </w:r>
          </w:p>
        </w:tc>
        <w:tc>
          <w:tcPr>
            <w:tcW w:w="1134" w:type="dxa"/>
            <w:tcBorders>
              <w:top w:val="nil"/>
              <w:left w:val="nil"/>
              <w:bottom w:val="single" w:sz="4" w:space="0" w:color="auto"/>
              <w:right w:val="single" w:sz="4" w:space="0" w:color="auto"/>
            </w:tcBorders>
          </w:tcPr>
          <w:p w:rsidR="00C55FBC" w:rsidRPr="009111C2" w:rsidRDefault="001C6DCF" w:rsidP="00C55FBC">
            <w:pPr>
              <w:jc w:val="center"/>
              <w:rPr>
                <w:rFonts w:ascii="Times New Roman" w:hAnsi="Times New Roman" w:cs="Times New Roman"/>
                <w:b/>
                <w:bCs/>
                <w:i/>
                <w:color w:val="000000"/>
                <w:sz w:val="18"/>
                <w:szCs w:val="18"/>
              </w:rPr>
            </w:pPr>
            <w:r>
              <w:rPr>
                <w:rFonts w:ascii="Times New Roman" w:hAnsi="Times New Roman" w:cs="Times New Roman"/>
                <w:b/>
                <w:bCs/>
                <w:i/>
                <w:color w:val="000000"/>
                <w:sz w:val="18"/>
                <w:szCs w:val="18"/>
              </w:rPr>
              <w:t>0</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i/>
                <w:sz w:val="18"/>
                <w:szCs w:val="18"/>
              </w:rPr>
            </w:pPr>
            <w:r w:rsidRPr="009111C2">
              <w:rPr>
                <w:rFonts w:ascii="Times New Roman" w:hAnsi="Times New Roman" w:cs="Times New Roman"/>
                <w:b/>
                <w:bCs/>
                <w:i/>
                <w:sz w:val="18"/>
                <w:szCs w:val="18"/>
              </w:rPr>
              <w:t>1.4</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i/>
                <w:sz w:val="18"/>
                <w:szCs w:val="18"/>
              </w:rPr>
            </w:pPr>
            <w:r w:rsidRPr="009111C2">
              <w:rPr>
                <w:rFonts w:ascii="Times New Roman" w:hAnsi="Times New Roman" w:cs="Times New Roman"/>
                <w:b/>
                <w:bCs/>
                <w:i/>
                <w:sz w:val="18"/>
                <w:szCs w:val="18"/>
              </w:rPr>
              <w:t xml:space="preserve">загальновиробничі витрати, у </w:t>
            </w:r>
            <w:proofErr w:type="spellStart"/>
            <w:r w:rsidRPr="009111C2">
              <w:rPr>
                <w:rFonts w:ascii="Times New Roman" w:hAnsi="Times New Roman" w:cs="Times New Roman"/>
                <w:b/>
                <w:bCs/>
                <w:i/>
                <w:sz w:val="18"/>
                <w:szCs w:val="18"/>
              </w:rPr>
              <w:t>т.ч</w:t>
            </w:r>
            <w:proofErr w:type="spellEnd"/>
            <w:r w:rsidRPr="009111C2">
              <w:rPr>
                <w:rFonts w:ascii="Times New Roman" w:hAnsi="Times New Roman" w:cs="Times New Roman"/>
                <w:b/>
                <w:bCs/>
                <w:i/>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4251,78</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5,79</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4251,78</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i/>
                <w:color w:val="000000"/>
                <w:sz w:val="18"/>
                <w:szCs w:val="18"/>
              </w:rPr>
            </w:pPr>
            <w:r w:rsidRPr="009111C2">
              <w:rPr>
                <w:rFonts w:ascii="Times New Roman" w:hAnsi="Times New Roman" w:cs="Times New Roman"/>
                <w:b/>
                <w:bCs/>
                <w:i/>
                <w:color w:val="000000"/>
                <w:sz w:val="18"/>
                <w:szCs w:val="18"/>
              </w:rPr>
              <w:t>5,79</w:t>
            </w:r>
          </w:p>
        </w:tc>
        <w:tc>
          <w:tcPr>
            <w:tcW w:w="1134" w:type="dxa"/>
            <w:tcBorders>
              <w:top w:val="nil"/>
              <w:left w:val="nil"/>
              <w:bottom w:val="single" w:sz="4" w:space="0" w:color="auto"/>
              <w:right w:val="single" w:sz="4" w:space="0" w:color="auto"/>
            </w:tcBorders>
          </w:tcPr>
          <w:p w:rsidR="00C55FBC" w:rsidRPr="009111C2" w:rsidRDefault="001C6DCF" w:rsidP="00C55FBC">
            <w:pPr>
              <w:jc w:val="center"/>
              <w:rPr>
                <w:rFonts w:ascii="Times New Roman" w:hAnsi="Times New Roman" w:cs="Times New Roman"/>
                <w:b/>
                <w:bCs/>
                <w:i/>
                <w:color w:val="000000"/>
                <w:sz w:val="18"/>
                <w:szCs w:val="18"/>
              </w:rPr>
            </w:pPr>
            <w:r>
              <w:rPr>
                <w:rFonts w:ascii="Times New Roman" w:hAnsi="Times New Roman" w:cs="Times New Roman"/>
                <w:b/>
                <w:bCs/>
                <w:i/>
                <w:color w:val="000000"/>
                <w:sz w:val="18"/>
                <w:szCs w:val="18"/>
              </w:rPr>
              <w:t>0</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sz w:val="18"/>
                <w:szCs w:val="18"/>
              </w:rPr>
            </w:pPr>
            <w:r w:rsidRPr="009111C2">
              <w:rPr>
                <w:rFonts w:ascii="Times New Roman" w:hAnsi="Times New Roman" w:cs="Times New Roman"/>
                <w:b/>
                <w:bCs/>
                <w:sz w:val="18"/>
                <w:szCs w:val="18"/>
              </w:rPr>
              <w:t>2</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sz w:val="18"/>
                <w:szCs w:val="18"/>
              </w:rPr>
            </w:pPr>
            <w:r w:rsidRPr="009111C2">
              <w:rPr>
                <w:rFonts w:ascii="Times New Roman" w:hAnsi="Times New Roman" w:cs="Times New Roman"/>
                <w:b/>
                <w:bCs/>
                <w:sz w:val="18"/>
                <w:szCs w:val="18"/>
              </w:rPr>
              <w:t>Адміністративні витрати, у т.ч.:</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2693,11</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2693,11</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3,67</w:t>
            </w:r>
          </w:p>
        </w:tc>
        <w:tc>
          <w:tcPr>
            <w:tcW w:w="1134" w:type="dxa"/>
            <w:tcBorders>
              <w:top w:val="nil"/>
              <w:left w:val="nil"/>
              <w:bottom w:val="single" w:sz="4" w:space="0" w:color="auto"/>
              <w:right w:val="single" w:sz="4" w:space="0" w:color="auto"/>
            </w:tcBorders>
          </w:tcPr>
          <w:p w:rsidR="00C55FBC" w:rsidRPr="009111C2" w:rsidRDefault="001C6DCF" w:rsidP="00C55FBC">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7D00CC" w:rsidRDefault="00C55FBC" w:rsidP="00C55FBC">
            <w:pPr>
              <w:jc w:val="center"/>
              <w:rPr>
                <w:rFonts w:ascii="Times New Roman" w:hAnsi="Times New Roman" w:cs="Times New Roman"/>
                <w:b/>
                <w:bCs/>
                <w:sz w:val="18"/>
                <w:szCs w:val="18"/>
              </w:rPr>
            </w:pPr>
            <w:r w:rsidRPr="007D00CC">
              <w:rPr>
                <w:rFonts w:ascii="Times New Roman" w:hAnsi="Times New Roman" w:cs="Times New Roman"/>
                <w:b/>
                <w:bCs/>
                <w:sz w:val="18"/>
                <w:szCs w:val="18"/>
              </w:rPr>
              <w:lastRenderedPageBreak/>
              <w:t>3</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7D00CC" w:rsidRDefault="00C55FBC" w:rsidP="00C55FBC">
            <w:pPr>
              <w:rPr>
                <w:rFonts w:ascii="Times New Roman" w:hAnsi="Times New Roman" w:cs="Times New Roman"/>
                <w:b/>
                <w:bCs/>
                <w:sz w:val="18"/>
                <w:szCs w:val="18"/>
              </w:rPr>
            </w:pPr>
            <w:r w:rsidRPr="007D00CC">
              <w:rPr>
                <w:rFonts w:ascii="Times New Roman" w:hAnsi="Times New Roman" w:cs="Times New Roman"/>
                <w:b/>
                <w:bCs/>
                <w:sz w:val="18"/>
                <w:szCs w:val="18"/>
              </w:rPr>
              <w:t>Витрати на збут, у т.ч.:</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tcPr>
          <w:p w:rsidR="00C55FBC" w:rsidRPr="009111C2" w:rsidRDefault="00C55FBC" w:rsidP="00C55FBC">
            <w:pPr>
              <w:jc w:val="center"/>
              <w:rPr>
                <w:rFonts w:ascii="Times New Roman" w:hAnsi="Times New Roman" w:cs="Times New Roman"/>
                <w:color w:val="000000"/>
                <w:sz w:val="18"/>
                <w:szCs w:val="18"/>
              </w:rPr>
            </w:pP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7D00CC" w:rsidRDefault="00C55FBC" w:rsidP="00C55FBC">
            <w:pPr>
              <w:jc w:val="center"/>
              <w:rPr>
                <w:rFonts w:ascii="Times New Roman" w:hAnsi="Times New Roman" w:cs="Times New Roman"/>
                <w:b/>
                <w:bCs/>
                <w:sz w:val="18"/>
                <w:szCs w:val="18"/>
              </w:rPr>
            </w:pPr>
            <w:r w:rsidRPr="007D00CC">
              <w:rPr>
                <w:rFonts w:ascii="Times New Roman" w:hAnsi="Times New Roman" w:cs="Times New Roman"/>
                <w:b/>
                <w:bCs/>
                <w:sz w:val="18"/>
                <w:szCs w:val="18"/>
              </w:rPr>
              <w:t>4</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7D00CC" w:rsidRDefault="00C55FBC" w:rsidP="00C55FBC">
            <w:pPr>
              <w:rPr>
                <w:rFonts w:ascii="Times New Roman" w:hAnsi="Times New Roman" w:cs="Times New Roman"/>
                <w:b/>
                <w:bCs/>
                <w:sz w:val="18"/>
                <w:szCs w:val="18"/>
              </w:rPr>
            </w:pPr>
            <w:r w:rsidRPr="007D00CC">
              <w:rPr>
                <w:rFonts w:ascii="Times New Roman" w:hAnsi="Times New Roman" w:cs="Times New Roman"/>
                <w:b/>
                <w:bCs/>
                <w:sz w:val="18"/>
                <w:szCs w:val="18"/>
              </w:rPr>
              <w:t>Інші операційні витрати</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tcPr>
          <w:p w:rsidR="00C55FBC" w:rsidRPr="009111C2" w:rsidRDefault="00C55FBC" w:rsidP="00C55FBC">
            <w:pPr>
              <w:jc w:val="center"/>
              <w:rPr>
                <w:rFonts w:ascii="Times New Roman" w:hAnsi="Times New Roman" w:cs="Times New Roman"/>
                <w:color w:val="000000"/>
                <w:sz w:val="18"/>
                <w:szCs w:val="18"/>
              </w:rPr>
            </w:pPr>
          </w:p>
        </w:tc>
      </w:tr>
      <w:tr w:rsidR="00C55FBC" w:rsidRPr="009111C2" w:rsidTr="007D00CC">
        <w:trPr>
          <w:trHeight w:val="41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sz w:val="18"/>
                <w:szCs w:val="18"/>
              </w:rPr>
            </w:pPr>
            <w:r w:rsidRPr="009111C2">
              <w:rPr>
                <w:rFonts w:ascii="Times New Roman" w:hAnsi="Times New Roman" w:cs="Times New Roman"/>
                <w:b/>
                <w:bCs/>
                <w:sz w:val="18"/>
                <w:szCs w:val="18"/>
              </w:rPr>
              <w:t>6</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9111C2" w:rsidRDefault="00C55FBC" w:rsidP="00C55FBC">
            <w:pPr>
              <w:rPr>
                <w:rFonts w:ascii="Times New Roman" w:hAnsi="Times New Roman" w:cs="Times New Roman"/>
                <w:b/>
                <w:bCs/>
                <w:sz w:val="18"/>
                <w:szCs w:val="18"/>
              </w:rPr>
            </w:pPr>
            <w:r w:rsidRPr="009111C2">
              <w:rPr>
                <w:rFonts w:ascii="Times New Roman" w:hAnsi="Times New Roman" w:cs="Times New Roman"/>
                <w:b/>
                <w:bCs/>
                <w:sz w:val="18"/>
                <w:szCs w:val="18"/>
              </w:rPr>
              <w:t>Повна собівартість</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22977,75</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sidRPr="009111C2">
              <w:rPr>
                <w:rFonts w:ascii="Times New Roman" w:hAnsi="Times New Roman" w:cs="Times New Roman"/>
                <w:b/>
                <w:bCs/>
                <w:color w:val="000000"/>
                <w:sz w:val="18"/>
                <w:szCs w:val="18"/>
              </w:rPr>
              <w:t>31,31</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26206,41</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35,71</w:t>
            </w:r>
          </w:p>
        </w:tc>
        <w:tc>
          <w:tcPr>
            <w:tcW w:w="1134" w:type="dxa"/>
            <w:tcBorders>
              <w:top w:val="nil"/>
              <w:left w:val="nil"/>
              <w:bottom w:val="single" w:sz="4" w:space="0" w:color="auto"/>
              <w:right w:val="single" w:sz="4" w:space="0" w:color="auto"/>
            </w:tcBorders>
          </w:tcPr>
          <w:p w:rsidR="001C6DCF" w:rsidRPr="009111C2" w:rsidRDefault="001C6DCF" w:rsidP="001C6DCF">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+3228,66</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7D00CC" w:rsidRDefault="00C55FBC" w:rsidP="00C55FBC">
            <w:pPr>
              <w:jc w:val="center"/>
              <w:rPr>
                <w:rFonts w:ascii="Times New Roman" w:hAnsi="Times New Roman" w:cs="Times New Roman"/>
                <w:b/>
                <w:bCs/>
                <w:sz w:val="18"/>
                <w:szCs w:val="18"/>
              </w:rPr>
            </w:pPr>
            <w:r w:rsidRPr="007D00CC">
              <w:rPr>
                <w:rFonts w:ascii="Times New Roman" w:hAnsi="Times New Roman" w:cs="Times New Roman"/>
                <w:b/>
                <w:bCs/>
                <w:sz w:val="18"/>
                <w:szCs w:val="18"/>
              </w:rPr>
              <w:t>7</w:t>
            </w:r>
          </w:p>
        </w:tc>
        <w:tc>
          <w:tcPr>
            <w:tcW w:w="3006" w:type="dxa"/>
            <w:tcBorders>
              <w:top w:val="nil"/>
              <w:left w:val="nil"/>
              <w:bottom w:val="single" w:sz="4" w:space="0" w:color="auto"/>
              <w:right w:val="single" w:sz="4" w:space="0" w:color="auto"/>
            </w:tcBorders>
            <w:shd w:val="clear" w:color="auto" w:fill="auto"/>
            <w:noWrap/>
            <w:vAlign w:val="center"/>
            <w:hideMark/>
          </w:tcPr>
          <w:p w:rsidR="00C55FBC" w:rsidRPr="007D00CC" w:rsidRDefault="00C55FBC" w:rsidP="00C55FBC">
            <w:pPr>
              <w:rPr>
                <w:rFonts w:ascii="Times New Roman" w:hAnsi="Times New Roman" w:cs="Times New Roman"/>
                <w:b/>
                <w:bCs/>
                <w:sz w:val="18"/>
                <w:szCs w:val="18"/>
              </w:rPr>
            </w:pPr>
            <w:r w:rsidRPr="007D00CC">
              <w:rPr>
                <w:rFonts w:ascii="Times New Roman" w:hAnsi="Times New Roman" w:cs="Times New Roman"/>
                <w:b/>
                <w:bCs/>
                <w:sz w:val="18"/>
                <w:szCs w:val="18"/>
              </w:rPr>
              <w:t>Розрахунковий прибуток, у т.ч.:</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color w:val="000000"/>
                <w:sz w:val="18"/>
                <w:szCs w:val="18"/>
              </w:rPr>
            </w:pPr>
            <w:r w:rsidRPr="009111C2">
              <w:rPr>
                <w:rFonts w:ascii="Times New Roman" w:hAnsi="Times New Roman" w:cs="Times New Roman"/>
                <w:color w:val="000000"/>
                <w:sz w:val="18"/>
                <w:szCs w:val="18"/>
              </w:rPr>
              <w:t>-</w:t>
            </w:r>
          </w:p>
        </w:tc>
        <w:tc>
          <w:tcPr>
            <w:tcW w:w="1134" w:type="dxa"/>
            <w:tcBorders>
              <w:top w:val="nil"/>
              <w:left w:val="nil"/>
              <w:bottom w:val="single" w:sz="4" w:space="0" w:color="auto"/>
              <w:right w:val="single" w:sz="4" w:space="0" w:color="auto"/>
            </w:tcBorders>
          </w:tcPr>
          <w:p w:rsidR="00C55FBC" w:rsidRPr="009111C2" w:rsidRDefault="00C55FBC" w:rsidP="00C55FBC">
            <w:pPr>
              <w:jc w:val="center"/>
              <w:rPr>
                <w:rFonts w:ascii="Times New Roman" w:hAnsi="Times New Roman" w:cs="Times New Roman"/>
                <w:color w:val="000000"/>
                <w:sz w:val="18"/>
                <w:szCs w:val="18"/>
              </w:rPr>
            </w:pP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sz w:val="18"/>
                <w:szCs w:val="18"/>
              </w:rPr>
            </w:pPr>
            <w:r w:rsidRPr="009111C2">
              <w:rPr>
                <w:rFonts w:ascii="Times New Roman" w:hAnsi="Times New Roman" w:cs="Times New Roman"/>
                <w:b/>
                <w:bCs/>
                <w:sz w:val="18"/>
                <w:szCs w:val="18"/>
              </w:rPr>
              <w:t>8</w:t>
            </w:r>
          </w:p>
        </w:tc>
        <w:tc>
          <w:tcPr>
            <w:tcW w:w="3006"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C55FBC">
            <w:pPr>
              <w:rPr>
                <w:rFonts w:ascii="Times New Roman" w:hAnsi="Times New Roman" w:cs="Times New Roman"/>
                <w:b/>
                <w:bCs/>
                <w:sz w:val="18"/>
                <w:szCs w:val="18"/>
              </w:rPr>
            </w:pPr>
            <w:r w:rsidRPr="009111C2">
              <w:rPr>
                <w:rFonts w:ascii="Times New Roman" w:hAnsi="Times New Roman" w:cs="Times New Roman"/>
                <w:b/>
                <w:bCs/>
                <w:sz w:val="18"/>
                <w:szCs w:val="18"/>
              </w:rPr>
              <w:t>Вартість централізованого водопостачання/водовідведення,              тис. грн</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rsidR="00C55FBC" w:rsidRPr="009111C2" w:rsidRDefault="00C55FBC" w:rsidP="00C55FBC">
            <w:pPr>
              <w:jc w:val="center"/>
              <w:rPr>
                <w:rFonts w:ascii="Times New Roman" w:hAnsi="Times New Roman" w:cs="Times New Roman"/>
                <w:b/>
                <w:color w:val="000000"/>
                <w:sz w:val="18"/>
                <w:szCs w:val="18"/>
              </w:rPr>
            </w:pPr>
            <w:r w:rsidRPr="009111C2">
              <w:rPr>
                <w:rFonts w:ascii="Times New Roman" w:hAnsi="Times New Roman" w:cs="Times New Roman"/>
                <w:b/>
                <w:color w:val="000000"/>
                <w:sz w:val="18"/>
                <w:szCs w:val="18"/>
              </w:rPr>
              <w:t>22977,75</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tcPr>
          <w:p w:rsidR="00C55FBC" w:rsidRPr="009111C2" w:rsidRDefault="00C55FBC" w:rsidP="00C55FBC">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26206,41</w:t>
            </w:r>
          </w:p>
        </w:tc>
        <w:tc>
          <w:tcPr>
            <w:tcW w:w="1134" w:type="dxa"/>
            <w:tcBorders>
              <w:top w:val="single" w:sz="4" w:space="0" w:color="auto"/>
              <w:left w:val="nil"/>
              <w:bottom w:val="single" w:sz="4" w:space="0" w:color="auto"/>
              <w:right w:val="single" w:sz="4" w:space="0" w:color="000000"/>
            </w:tcBorders>
            <w:vAlign w:val="center"/>
          </w:tcPr>
          <w:p w:rsidR="00C55FBC" w:rsidRPr="009111C2" w:rsidRDefault="001C6DCF" w:rsidP="00C55FBC">
            <w:pPr>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+3228,66</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sz w:val="18"/>
                <w:szCs w:val="18"/>
              </w:rPr>
            </w:pPr>
            <w:r w:rsidRPr="009111C2">
              <w:rPr>
                <w:rFonts w:ascii="Times New Roman" w:hAnsi="Times New Roman" w:cs="Times New Roman"/>
                <w:b/>
                <w:bCs/>
                <w:sz w:val="18"/>
                <w:szCs w:val="18"/>
              </w:rPr>
              <w:t>9</w:t>
            </w:r>
          </w:p>
        </w:tc>
        <w:tc>
          <w:tcPr>
            <w:tcW w:w="3006"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C55FBC">
            <w:pPr>
              <w:rPr>
                <w:rFonts w:ascii="Times New Roman" w:hAnsi="Times New Roman" w:cs="Times New Roman"/>
                <w:b/>
                <w:bCs/>
                <w:sz w:val="18"/>
                <w:szCs w:val="18"/>
              </w:rPr>
            </w:pPr>
            <w:r w:rsidRPr="009111C2">
              <w:rPr>
                <w:rFonts w:ascii="Times New Roman" w:hAnsi="Times New Roman" w:cs="Times New Roman"/>
                <w:b/>
                <w:bCs/>
                <w:sz w:val="18"/>
                <w:szCs w:val="18"/>
              </w:rPr>
              <w:t>Тариф на централізоване водопостачання/водовідведення, грн/м</w:t>
            </w:r>
            <w:r w:rsidRPr="009111C2">
              <w:rPr>
                <w:rFonts w:ascii="Times New Roman" w:hAnsi="Times New Roman" w:cs="Times New Roman"/>
                <w:b/>
                <w:bCs/>
                <w:sz w:val="18"/>
                <w:szCs w:val="18"/>
                <w:vertAlign w:val="superscript"/>
              </w:rPr>
              <w:t>3</w:t>
            </w:r>
          </w:p>
        </w:tc>
        <w:tc>
          <w:tcPr>
            <w:tcW w:w="1984" w:type="dxa"/>
            <w:gridSpan w:val="2"/>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color w:val="000000"/>
                <w:sz w:val="18"/>
                <w:szCs w:val="18"/>
              </w:rPr>
            </w:pPr>
            <w:r w:rsidRPr="009111C2">
              <w:rPr>
                <w:rFonts w:ascii="Times New Roman" w:hAnsi="Times New Roman" w:cs="Times New Roman"/>
                <w:b/>
                <w:color w:val="000000"/>
                <w:sz w:val="18"/>
                <w:szCs w:val="18"/>
              </w:rPr>
              <w:t>31,31</w:t>
            </w:r>
          </w:p>
        </w:tc>
        <w:tc>
          <w:tcPr>
            <w:tcW w:w="2126" w:type="dxa"/>
            <w:gridSpan w:val="2"/>
            <w:tcBorders>
              <w:top w:val="nil"/>
              <w:left w:val="nil"/>
              <w:bottom w:val="single" w:sz="4" w:space="0" w:color="auto"/>
              <w:right w:val="single" w:sz="4" w:space="0" w:color="auto"/>
            </w:tcBorders>
            <w:shd w:val="clear" w:color="auto" w:fill="auto"/>
            <w:noWrap/>
            <w:vAlign w:val="center"/>
          </w:tcPr>
          <w:p w:rsidR="00C55FBC" w:rsidRPr="009111C2" w:rsidRDefault="00C55FBC" w:rsidP="00C55FBC">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35,71</w:t>
            </w:r>
          </w:p>
        </w:tc>
        <w:tc>
          <w:tcPr>
            <w:tcW w:w="1134" w:type="dxa"/>
            <w:tcBorders>
              <w:top w:val="nil"/>
              <w:left w:val="nil"/>
              <w:bottom w:val="single" w:sz="4" w:space="0" w:color="auto"/>
              <w:right w:val="single" w:sz="4" w:space="0" w:color="auto"/>
            </w:tcBorders>
            <w:vAlign w:val="center"/>
          </w:tcPr>
          <w:p w:rsidR="00C55FBC" w:rsidRPr="009111C2" w:rsidRDefault="001C6DCF" w:rsidP="00C55FBC">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+4,4</w:t>
            </w:r>
          </w:p>
        </w:tc>
      </w:tr>
      <w:tr w:rsidR="00C55FBC" w:rsidRPr="009111C2" w:rsidTr="00C55FBC">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55FBC" w:rsidRPr="009111C2" w:rsidRDefault="00C55FBC" w:rsidP="00C55FBC">
            <w:pPr>
              <w:jc w:val="center"/>
              <w:rPr>
                <w:rFonts w:ascii="Times New Roman" w:hAnsi="Times New Roman" w:cs="Times New Roman"/>
                <w:b/>
                <w:bCs/>
                <w:sz w:val="18"/>
                <w:szCs w:val="18"/>
              </w:rPr>
            </w:pPr>
            <w:r w:rsidRPr="009111C2">
              <w:rPr>
                <w:rFonts w:ascii="Times New Roman" w:hAnsi="Times New Roman" w:cs="Times New Roman"/>
                <w:b/>
                <w:bCs/>
                <w:sz w:val="18"/>
                <w:szCs w:val="18"/>
              </w:rPr>
              <w:t>10</w:t>
            </w:r>
          </w:p>
        </w:tc>
        <w:tc>
          <w:tcPr>
            <w:tcW w:w="3006" w:type="dxa"/>
            <w:tcBorders>
              <w:top w:val="nil"/>
              <w:left w:val="nil"/>
              <w:bottom w:val="single" w:sz="4" w:space="0" w:color="auto"/>
              <w:right w:val="single" w:sz="4" w:space="0" w:color="auto"/>
            </w:tcBorders>
            <w:shd w:val="clear" w:color="auto" w:fill="auto"/>
            <w:vAlign w:val="center"/>
            <w:hideMark/>
          </w:tcPr>
          <w:p w:rsidR="00C55FBC" w:rsidRPr="009111C2" w:rsidRDefault="00C55FBC" w:rsidP="00C55FBC">
            <w:pPr>
              <w:rPr>
                <w:rFonts w:ascii="Times New Roman" w:hAnsi="Times New Roman" w:cs="Times New Roman"/>
                <w:b/>
                <w:bCs/>
                <w:sz w:val="18"/>
                <w:szCs w:val="18"/>
              </w:rPr>
            </w:pPr>
            <w:r w:rsidRPr="009111C2">
              <w:rPr>
                <w:rFonts w:ascii="Times New Roman" w:hAnsi="Times New Roman" w:cs="Times New Roman"/>
                <w:b/>
                <w:bCs/>
                <w:sz w:val="18"/>
                <w:szCs w:val="18"/>
              </w:rPr>
              <w:t>Обсяг реалізації, тис. м</w:t>
            </w:r>
            <w:r w:rsidRPr="009111C2">
              <w:rPr>
                <w:rFonts w:ascii="Times New Roman" w:hAnsi="Times New Roman" w:cs="Times New Roman"/>
                <w:b/>
                <w:bCs/>
                <w:sz w:val="18"/>
                <w:szCs w:val="18"/>
                <w:vertAlign w:val="superscript"/>
              </w:rPr>
              <w:t>3</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rsidR="00C55FBC" w:rsidRPr="009111C2" w:rsidRDefault="00C55FBC" w:rsidP="00C55FBC">
            <w:pPr>
              <w:jc w:val="center"/>
              <w:rPr>
                <w:rFonts w:ascii="Times New Roman" w:hAnsi="Times New Roman" w:cs="Times New Roman"/>
                <w:b/>
                <w:color w:val="000000"/>
                <w:sz w:val="18"/>
                <w:szCs w:val="18"/>
              </w:rPr>
            </w:pPr>
            <w:r w:rsidRPr="009111C2">
              <w:rPr>
                <w:rFonts w:ascii="Times New Roman" w:hAnsi="Times New Roman" w:cs="Times New Roman"/>
                <w:b/>
                <w:color w:val="000000"/>
                <w:sz w:val="18"/>
                <w:szCs w:val="18"/>
              </w:rPr>
              <w:t>733,80</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tcPr>
          <w:p w:rsidR="00C55FBC" w:rsidRPr="009111C2" w:rsidRDefault="00C55FBC" w:rsidP="00C55FBC">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733,80</w:t>
            </w:r>
          </w:p>
        </w:tc>
        <w:tc>
          <w:tcPr>
            <w:tcW w:w="1134" w:type="dxa"/>
            <w:tcBorders>
              <w:top w:val="single" w:sz="4" w:space="0" w:color="auto"/>
              <w:left w:val="nil"/>
              <w:bottom w:val="single" w:sz="4" w:space="0" w:color="auto"/>
              <w:right w:val="single" w:sz="4" w:space="0" w:color="000000"/>
            </w:tcBorders>
            <w:vAlign w:val="center"/>
          </w:tcPr>
          <w:p w:rsidR="00C55FBC" w:rsidRPr="009111C2" w:rsidRDefault="00C55FBC" w:rsidP="00C55FBC">
            <w:pPr>
              <w:jc w:val="center"/>
              <w:rPr>
                <w:rFonts w:ascii="Times New Roman" w:hAnsi="Times New Roman" w:cs="Times New Roman"/>
                <w:b/>
                <w:color w:val="000000"/>
                <w:sz w:val="18"/>
                <w:szCs w:val="18"/>
              </w:rPr>
            </w:pPr>
          </w:p>
        </w:tc>
      </w:tr>
    </w:tbl>
    <w:p w:rsidR="00742B04" w:rsidRPr="009111C2" w:rsidRDefault="00742B04" w:rsidP="00742B04">
      <w:pPr>
        <w:rPr>
          <w:rFonts w:ascii="Times New Roman" w:hAnsi="Times New Roman" w:cs="Times New Roman"/>
          <w:sz w:val="18"/>
          <w:szCs w:val="18"/>
        </w:rPr>
      </w:pPr>
    </w:p>
    <w:p w:rsidR="006614E3" w:rsidRDefault="001E1EFC" w:rsidP="00362F51">
      <w:pPr>
        <w:jc w:val="both"/>
        <w:rPr>
          <w:rFonts w:ascii="Times New Roman" w:hAnsi="Times New Roman" w:cs="Times New Roman"/>
          <w:sz w:val="28"/>
          <w:szCs w:val="28"/>
        </w:rPr>
      </w:pPr>
      <w:r w:rsidRPr="001E1EFC">
        <w:rPr>
          <w:rFonts w:ascii="Times New Roman" w:hAnsi="Times New Roman" w:cs="Times New Roman"/>
          <w:sz w:val="28"/>
          <w:szCs w:val="28"/>
        </w:rPr>
        <w:t>Підвищення тарифу на воду є необхідним заходом для забезпечення фінансової стабільності КП «ВВУВКГ» ДОР», відвернення банкрутства та забезпечення безперебійного водопостачання споживачам. Це рішення дозволить покрити зростаючі витрати на покупну воду, підтримати якість послуг та забезпечити стабільне функціонування підприємства.</w:t>
      </w:r>
    </w:p>
    <w:p w:rsidR="0007126B" w:rsidRDefault="0007126B" w:rsidP="001E1EFC">
      <w:pPr>
        <w:rPr>
          <w:rFonts w:ascii="Times New Roman" w:hAnsi="Times New Roman" w:cs="Times New Roman"/>
          <w:sz w:val="28"/>
          <w:szCs w:val="28"/>
        </w:rPr>
      </w:pPr>
    </w:p>
    <w:p w:rsidR="0007126B" w:rsidRPr="001E1EFC" w:rsidRDefault="0007126B" w:rsidP="001E1EFC">
      <w:pPr>
        <w:rPr>
          <w:rFonts w:ascii="Times New Roman" w:hAnsi="Times New Roman" w:cs="Times New Roman"/>
          <w:sz w:val="28"/>
          <w:szCs w:val="28"/>
        </w:rPr>
      </w:pPr>
      <w:r>
        <w:rPr>
          <w:rFonts w:ascii="Times New Roman" w:hAnsi="Times New Roman" w:cs="Times New Roman"/>
          <w:sz w:val="28"/>
          <w:szCs w:val="28"/>
        </w:rPr>
        <w:t>Керуючий санацією КП «ВВУВКГ»ДОР»                                  Віктор ВЕЛИЧКО</w:t>
      </w:r>
    </w:p>
    <w:sectPr w:rsidR="0007126B" w:rsidRPr="001E1E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A2BCA"/>
    <w:multiLevelType w:val="hybridMultilevel"/>
    <w:tmpl w:val="EE3E89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FC"/>
    <w:rsid w:val="0007126B"/>
    <w:rsid w:val="001C6DCF"/>
    <w:rsid w:val="001E1EFC"/>
    <w:rsid w:val="00362F51"/>
    <w:rsid w:val="00384C7C"/>
    <w:rsid w:val="0046665F"/>
    <w:rsid w:val="004D5DB4"/>
    <w:rsid w:val="006614E3"/>
    <w:rsid w:val="006D450C"/>
    <w:rsid w:val="0073185F"/>
    <w:rsid w:val="00742B04"/>
    <w:rsid w:val="007D00CC"/>
    <w:rsid w:val="009111C2"/>
    <w:rsid w:val="00C55ABA"/>
    <w:rsid w:val="00C55FBC"/>
    <w:rsid w:val="00DC07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2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12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2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1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dn_vod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ЯЧС</cp:lastModifiedBy>
  <cp:revision>2</cp:revision>
  <cp:lastPrinted>2024-06-04T08:57:00Z</cp:lastPrinted>
  <dcterms:created xsi:type="dcterms:W3CDTF">2024-06-04T11:55:00Z</dcterms:created>
  <dcterms:modified xsi:type="dcterms:W3CDTF">2024-06-04T11:55:00Z</dcterms:modified>
</cp:coreProperties>
</file>